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jc w:val="center"/>
        <w:rPr>
          <w:rFonts w:eastAsia="方正小标宋简体"/>
          <w:color w:val="FF0000"/>
          <w:spacing w:val="80"/>
          <w:w w:val="82"/>
          <w:sz w:val="96"/>
          <w:szCs w:val="96"/>
        </w:rPr>
      </w:pPr>
      <w:r>
        <w:rPr>
          <w:rFonts w:hint="eastAsia" w:eastAsia="方正小标宋简体"/>
          <w:color w:val="FF0000"/>
          <w:spacing w:val="80"/>
          <w:w w:val="82"/>
          <w:sz w:val="96"/>
          <w:szCs w:val="96"/>
        </w:rPr>
        <w:t>河北省企业家协会</w:t>
      </w:r>
    </w:p>
    <w:p>
      <w:pPr>
        <w:adjustRightInd w:val="0"/>
        <w:snapToGrid w:val="0"/>
        <w:spacing w:line="560" w:lineRule="exact"/>
        <w:jc w:val="right"/>
        <w:rPr>
          <w:rFonts w:ascii="仿宋_GB2312" w:eastAsia="仿宋_GB2312"/>
          <w:spacing w:val="20"/>
          <w:sz w:val="32"/>
        </w:rPr>
      </w:pPr>
      <w:r>
        <w:rPr>
          <w:rFonts w:ascii="仿宋_GB2312" w:eastAsia="仿宋_GB2312"/>
          <w:color w:val="FF0000"/>
          <w:spacing w:val="20"/>
          <w:sz w:val="32"/>
        </w:rPr>
        <w:pict>
          <v:line id="_x0000_s2050" o:spid="_x0000_s2050" o:spt="20" style="position:absolute;left:0pt;margin-left:0pt;margin-top:624pt;height:0pt;width:477pt;z-index:251659264;mso-width-relative:page;mso-height-relative:page;" coordsize="21600,21600">
            <v:path arrowok="t"/>
            <v:fill focussize="0,0"/>
            <v:stroke weight="4.5pt" color="#FF0000" linestyle="thinThick"/>
            <v:imagedata o:title=""/>
            <o:lock v:ext="edit"/>
          </v:line>
        </w:pict>
      </w:r>
      <w:r>
        <w:rPr>
          <w:rFonts w:ascii="仿宋_GB2312" w:eastAsia="仿宋_GB2312"/>
          <w:color w:val="FF0000"/>
          <w:spacing w:val="20"/>
          <w:sz w:val="32"/>
        </w:rPr>
        <w:pict>
          <v:line id="_x0000_s2051" o:spid="_x0000_s2051" o:spt="20" style="position:absolute;left:0pt;margin-left:0pt;margin-top:0pt;height:0pt;width:477pt;z-index:251658240;mso-width-relative:page;mso-height-relative:page;" coordsize="21600,21600">
            <v:path arrowok="t"/>
            <v:fill focussize="0,0"/>
            <v:stroke weight="4.5pt" color="#FF0000" linestyle="thickThin"/>
            <v:imagedata o:title=""/>
            <o:lock v:ext="edit"/>
          </v:line>
        </w:pict>
      </w:r>
      <w:r>
        <w:rPr>
          <w:rFonts w:hint="eastAsia" w:ascii="仿宋_GB2312" w:eastAsia="仿宋_GB2312"/>
          <w:b/>
          <w:spacing w:val="20"/>
          <w:sz w:val="32"/>
        </w:rPr>
        <w:t>冀企协函字[201</w:t>
      </w:r>
      <w:r>
        <w:rPr>
          <w:rFonts w:hint="eastAsia" w:ascii="仿宋_GB2312" w:eastAsia="仿宋_GB2312"/>
          <w:b/>
          <w:spacing w:val="20"/>
          <w:sz w:val="32"/>
          <w:lang w:val="en-US" w:eastAsia="zh-CN"/>
        </w:rPr>
        <w:t>7</w:t>
      </w:r>
      <w:r>
        <w:rPr>
          <w:rFonts w:hint="eastAsia" w:ascii="仿宋_GB2312" w:eastAsia="仿宋_GB2312"/>
          <w:b/>
          <w:spacing w:val="20"/>
          <w:sz w:val="32"/>
        </w:rPr>
        <w:t>]</w:t>
      </w:r>
      <w:r>
        <w:rPr>
          <w:rFonts w:hint="eastAsia" w:ascii="仿宋_GB2312" w:eastAsia="仿宋_GB2312"/>
          <w:b/>
          <w:spacing w:val="20"/>
          <w:sz w:val="32"/>
          <w:lang w:val="en-US" w:eastAsia="zh-CN"/>
        </w:rPr>
        <w:t>1</w:t>
      </w:r>
      <w:r>
        <w:rPr>
          <w:rFonts w:hint="eastAsia" w:ascii="仿宋_GB2312" w:eastAsia="仿宋_GB2312"/>
          <w:b/>
          <w:spacing w:val="20"/>
          <w:sz w:val="32"/>
        </w:rPr>
        <w:t>号</w:t>
      </w:r>
    </w:p>
    <w:p>
      <w:pPr>
        <w:spacing w:line="420" w:lineRule="exact"/>
        <w:ind w:firstLine="420"/>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关于参加“润千秋2017商界精英大讲堂”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企业家系列培训活动的函</w:t>
      </w:r>
    </w:p>
    <w:p>
      <w:pPr>
        <w:jc w:val="lef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ascii="仿宋_GB2312" w:eastAsia="仿宋_GB2312"/>
          <w:b/>
          <w:bCs/>
          <w:sz w:val="32"/>
          <w:szCs w:val="32"/>
        </w:rPr>
      </w:pPr>
      <w:r>
        <w:rPr>
          <w:rFonts w:hint="eastAsia" w:ascii="仿宋_GB2312" w:eastAsia="仿宋_GB2312"/>
          <w:b/>
          <w:bCs/>
          <w:sz w:val="32"/>
          <w:szCs w:val="32"/>
        </w:rPr>
        <w:t>各有关会员企业：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ascii="仿宋_GB2312" w:hAnsi="Calibri" w:eastAsia="仿宋_GB2312" w:cs="Times New Roman"/>
          <w:sz w:val="32"/>
          <w:szCs w:val="32"/>
        </w:rPr>
      </w:pPr>
      <w:r>
        <w:rPr>
          <w:rFonts w:hint="eastAsia" w:ascii="仿宋_GB2312" w:eastAsia="仿宋_GB2312"/>
          <w:sz w:val="32"/>
          <w:szCs w:val="32"/>
        </w:rPr>
        <w:t>为了认真贯彻落实省委、省政府“人才强省”</w:t>
      </w:r>
      <w:r>
        <w:rPr>
          <w:rFonts w:hint="eastAsia" w:eastAsia="仿宋_GB2312"/>
          <w:sz w:val="32"/>
          <w:szCs w:val="32"/>
        </w:rPr>
        <w:t> </w:t>
      </w:r>
      <w:r>
        <w:rPr>
          <w:rFonts w:hint="eastAsia" w:ascii="仿宋_GB2312" w:eastAsia="仿宋_GB2312"/>
          <w:sz w:val="32"/>
          <w:szCs w:val="32"/>
        </w:rPr>
        <w:t>战略，加强企业经营管理者队伍建设，提升企业家的个人智慧及商道管理能力，扩宽企业家的金融视角，我协会同清华大学河北研究院企业家研修中心润千秋商学院合作，联合举办“润千秋2017河北商界精英大讲堂”企业家系列培训活动。培训对象为</w:t>
      </w:r>
      <w:r>
        <w:rPr>
          <w:rFonts w:hint="eastAsia" w:eastAsia="仿宋_GB2312"/>
          <w:sz w:val="32"/>
          <w:szCs w:val="32"/>
        </w:rPr>
        <w:t> </w:t>
      </w:r>
      <w:r>
        <w:rPr>
          <w:rFonts w:hint="eastAsia" w:ascii="仿宋_GB2312" w:eastAsia="仿宋_GB2312"/>
          <w:sz w:val="32"/>
          <w:szCs w:val="32"/>
        </w:rPr>
        <w:t>企业副总经理以上高级管理人员，培训地点主要在石家庄市，具体地点另行通知，全年24期（其中两期移动课堂，费用另算），个人年度培训费6000元，单次听课卡每张500元。2017年企业家系列培训活动是协会同润千秋商学院合作组织的一次重要培训活动，请各会员企业积极参与，并于2月1日前将报名回执传真（或电子邮件）至协会秘书处。相关内容请见附件。</w:t>
      </w:r>
      <w:r>
        <w:rPr>
          <w:rFonts w:hint="eastAsia" w:ascii="仿宋_GB2312" w:hAnsi="Calibri" w:eastAsia="仿宋_GB2312" w:cs="Times New Roman"/>
          <w:sz w:val="32"/>
          <w:szCs w:val="32"/>
        </w:rPr>
        <w:tab/>
      </w: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ascii="仿宋_GB2312" w:eastAsia="仿宋_GB2312"/>
          <w:sz w:val="32"/>
          <w:szCs w:val="32"/>
        </w:rPr>
      </w:pP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ascii="仿宋_GB2312" w:eastAsia="仿宋_GB2312"/>
          <w:b/>
          <w:bCs/>
          <w:sz w:val="32"/>
          <w:szCs w:val="32"/>
        </w:rPr>
      </w:pPr>
      <w:r>
        <w:rPr>
          <w:rFonts w:hint="eastAsia" w:ascii="仿宋_GB2312" w:eastAsia="仿宋_GB2312"/>
          <w:b/>
          <w:bCs/>
          <w:sz w:val="32"/>
          <w:szCs w:val="32"/>
        </w:rPr>
        <w:t>附件：</w:t>
      </w:r>
      <w:r>
        <w:rPr>
          <w:rFonts w:hint="eastAsia" w:ascii="仿宋_GB2312" w:eastAsia="仿宋_GB2312"/>
          <w:b/>
          <w:bCs/>
          <w:sz w:val="32"/>
          <w:szCs w:val="32"/>
          <w:lang w:val="en-US" w:eastAsia="zh-CN"/>
        </w:rPr>
        <w:t>1.</w:t>
      </w:r>
      <w:r>
        <w:rPr>
          <w:rFonts w:hint="eastAsia" w:ascii="仿宋_GB2312" w:eastAsia="仿宋_GB2312"/>
          <w:b/>
          <w:bCs/>
          <w:sz w:val="32"/>
          <w:szCs w:val="32"/>
        </w:rPr>
        <w:t>培训时间及课程安排</w:t>
      </w: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hint="eastAsia" w:ascii="仿宋_GB2312" w:eastAsia="仿宋_GB2312"/>
          <w:b/>
          <w:bCs/>
          <w:sz w:val="32"/>
          <w:szCs w:val="32"/>
          <w:lang w:val="en-US" w:eastAsia="zh-CN"/>
        </w:rPr>
        <w:sectPr>
          <w:pgSz w:w="11906" w:h="16838"/>
          <w:pgMar w:top="1701" w:right="1247" w:bottom="1134" w:left="1247" w:header="851" w:footer="992" w:gutter="0"/>
          <w:pgNumType w:fmt="numberInDash"/>
          <w:cols w:space="0" w:num="1"/>
          <w:rtlGutter w:val="0"/>
          <w:docGrid w:type="lines" w:linePitch="318" w:charSpace="0"/>
        </w:sectPr>
      </w:pP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ascii="仿宋_GB2312" w:eastAsia="仿宋_GB2312"/>
          <w:b/>
          <w:bCs/>
          <w:sz w:val="32"/>
          <w:szCs w:val="32"/>
        </w:rPr>
      </w:pPr>
      <w:r>
        <w:rPr>
          <w:rFonts w:hint="eastAsia" w:ascii="仿宋_GB2312" w:eastAsia="仿宋_GB2312"/>
          <w:b/>
          <w:bCs/>
          <w:sz w:val="32"/>
          <w:szCs w:val="32"/>
          <w:lang w:val="en-US" w:eastAsia="zh-CN"/>
        </w:rPr>
        <w:t xml:space="preserve">      2.</w:t>
      </w:r>
      <w:r>
        <w:rPr>
          <w:rFonts w:hint="eastAsia" w:ascii="仿宋_GB2312" w:eastAsia="仿宋_GB2312"/>
          <w:b/>
          <w:bCs/>
          <w:sz w:val="32"/>
          <w:szCs w:val="32"/>
        </w:rPr>
        <w:t>参与授课的部分专家学者介绍</w:t>
      </w: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 xml:space="preserve">      3.</w:t>
      </w:r>
      <w:r>
        <w:rPr>
          <w:rFonts w:hint="eastAsia" w:ascii="仿宋_GB2312" w:eastAsia="仿宋_GB2312"/>
          <w:b/>
          <w:bCs/>
          <w:sz w:val="32"/>
          <w:szCs w:val="32"/>
        </w:rPr>
        <w:t>企业家系列培训活动报名回执</w:t>
      </w:r>
    </w:p>
    <w:p>
      <w:pPr>
        <w:pStyle w:val="12"/>
        <w:keepNext w:val="0"/>
        <w:keepLines w:val="0"/>
        <w:pageBreakBefore w:val="0"/>
        <w:widowControl w:val="0"/>
        <w:kinsoku/>
        <w:wordWrap/>
        <w:overflowPunct/>
        <w:topLinePunct w:val="0"/>
        <w:autoSpaceDE/>
        <w:autoSpaceDN/>
        <w:bidi w:val="0"/>
        <w:adjustRightInd/>
        <w:snapToGrid/>
        <w:spacing w:line="600" w:lineRule="exact"/>
        <w:ind w:left="720" w:right="0" w:rightChars="0" w:firstLine="0" w:firstLineChars="0"/>
        <w:jc w:val="left"/>
        <w:textAlignment w:val="auto"/>
        <w:outlineLvl w:val="9"/>
        <w:rPr>
          <w:rFonts w:hint="eastAsia" w:ascii="仿宋_GB2312" w:eastAsia="仿宋_GB2312"/>
          <w:b/>
          <w:bCs/>
          <w:sz w:val="32"/>
          <w:szCs w:val="32"/>
        </w:rPr>
      </w:pPr>
      <w:r>
        <w:drawing>
          <wp:anchor distT="0" distB="0" distL="114300" distR="114300" simplePos="0" relativeHeight="251661312" behindDoc="1" locked="0" layoutInCell="1" allowOverlap="1">
            <wp:simplePos x="0" y="0"/>
            <wp:positionH relativeFrom="column">
              <wp:posOffset>3917950</wp:posOffset>
            </wp:positionH>
            <wp:positionV relativeFrom="paragraph">
              <wp:posOffset>254000</wp:posOffset>
            </wp:positionV>
            <wp:extent cx="1733550" cy="160020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1733550" cy="1600200"/>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right="0" w:rightChars="0"/>
        <w:jc w:val="right"/>
        <w:textAlignment w:val="auto"/>
        <w:outlineLvl w:val="9"/>
        <w:rPr>
          <w:rFonts w:ascii="仿宋_GB2312" w:eastAsia="仿宋_GB2312"/>
          <w:b/>
          <w:bCs/>
          <w:sz w:val="32"/>
          <w:szCs w:val="32"/>
        </w:rPr>
      </w:pPr>
      <w:r>
        <w:rPr>
          <w:rFonts w:hint="eastAsia" w:ascii="仿宋_GB2312" w:eastAsia="仿宋_GB2312"/>
          <w:b/>
          <w:bCs/>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right="0" w:rightChars="0"/>
        <w:jc w:val="right"/>
        <w:textAlignment w:val="auto"/>
        <w:outlineLvl w:val="9"/>
        <w:rPr>
          <w:rFonts w:ascii="仿宋_GB2312" w:eastAsia="仿宋_GB2312"/>
          <w:b/>
          <w:bCs/>
          <w:sz w:val="32"/>
          <w:szCs w:val="32"/>
        </w:rPr>
      </w:pPr>
      <w:r>
        <w:rPr>
          <w:rFonts w:hint="eastAsia" w:ascii="仿宋_GB2312" w:eastAsia="仿宋_GB2312"/>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b/>
          <w:bCs/>
          <w:sz w:val="32"/>
          <w:szCs w:val="32"/>
          <w:lang w:eastAsia="zh-CN"/>
        </w:rPr>
      </w:pPr>
      <w:r>
        <w:rPr>
          <w:rFonts w:hint="eastAsia" w:ascii="仿宋_GB2312" w:eastAsia="仿宋_GB2312"/>
          <w:b/>
          <w:bCs/>
          <w:sz w:val="32"/>
          <w:szCs w:val="32"/>
          <w:lang w:eastAsia="zh-CN"/>
        </w:rPr>
        <w:t>联系方式：</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b/>
          <w:bCs/>
          <w:sz w:val="32"/>
          <w:szCs w:val="32"/>
        </w:rPr>
      </w:pPr>
      <w:r>
        <w:rPr>
          <w:rFonts w:hint="eastAsia" w:ascii="仿宋_GB2312" w:eastAsia="仿宋_GB2312"/>
          <w:b/>
          <w:bCs/>
          <w:sz w:val="32"/>
          <w:szCs w:val="32"/>
          <w:lang w:eastAsia="zh-CN"/>
        </w:rPr>
        <w:t>河北省企业家</w:t>
      </w:r>
      <w:r>
        <w:rPr>
          <w:rFonts w:hint="eastAsia" w:ascii="仿宋_GB2312" w:eastAsia="仿宋_GB2312"/>
          <w:b/>
          <w:bCs/>
          <w:sz w:val="32"/>
          <w:szCs w:val="32"/>
        </w:rPr>
        <w:t>协会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ascii="仿宋_GB2312" w:eastAsia="仿宋_GB2312"/>
          <w:sz w:val="32"/>
          <w:szCs w:val="32"/>
        </w:rPr>
      </w:pPr>
      <w:r>
        <w:rPr>
          <w:rFonts w:hint="eastAsia" w:ascii="仿宋_GB2312" w:eastAsia="仿宋_GB2312"/>
          <w:b/>
          <w:bCs/>
          <w:sz w:val="32"/>
          <w:szCs w:val="32"/>
          <w:lang w:val="en-US" w:eastAsia="zh-CN"/>
        </w:rPr>
        <w:t xml:space="preserve">  </w:t>
      </w:r>
      <w:r>
        <w:rPr>
          <w:rFonts w:hint="eastAsia" w:ascii="仿宋_GB2312" w:eastAsia="仿宋_GB2312"/>
          <w:b/>
          <w:bCs/>
          <w:sz w:val="32"/>
          <w:szCs w:val="32"/>
        </w:rPr>
        <w:t>联</w:t>
      </w:r>
      <w:r>
        <w:rPr>
          <w:rFonts w:hint="eastAsia" w:ascii="仿宋_GB2312" w:eastAsia="仿宋_GB2312"/>
          <w:b/>
          <w:bCs/>
          <w:sz w:val="32"/>
          <w:szCs w:val="32"/>
          <w:lang w:val="en-US" w:eastAsia="zh-CN"/>
        </w:rPr>
        <w:t xml:space="preserve"> </w:t>
      </w:r>
      <w:r>
        <w:rPr>
          <w:rFonts w:hint="eastAsia" w:ascii="仿宋_GB2312" w:eastAsia="仿宋_GB2312"/>
          <w:b/>
          <w:bCs/>
          <w:sz w:val="32"/>
          <w:szCs w:val="32"/>
        </w:rPr>
        <w:t>系</w:t>
      </w:r>
      <w:r>
        <w:rPr>
          <w:rFonts w:hint="eastAsia" w:ascii="仿宋_GB2312" w:eastAsia="仿宋_GB2312"/>
          <w:b/>
          <w:bCs/>
          <w:sz w:val="32"/>
          <w:szCs w:val="32"/>
          <w:lang w:val="en-US" w:eastAsia="zh-CN"/>
        </w:rPr>
        <w:t xml:space="preserve"> </w:t>
      </w:r>
      <w:r>
        <w:rPr>
          <w:rFonts w:hint="eastAsia" w:ascii="仿宋_GB2312" w:eastAsia="仿宋_GB2312"/>
          <w:b/>
          <w:bCs/>
          <w:sz w:val="32"/>
          <w:szCs w:val="32"/>
        </w:rPr>
        <w:t>人</w:t>
      </w:r>
      <w:r>
        <w:rPr>
          <w:rFonts w:hint="eastAsia" w:ascii="仿宋_GB2312" w:eastAsia="仿宋_GB2312"/>
          <w:sz w:val="32"/>
          <w:szCs w:val="32"/>
        </w:rPr>
        <w:t xml:space="preserve">：杨建成  谷利伟  </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sz w:val="32"/>
          <w:szCs w:val="32"/>
        </w:rPr>
      </w:pPr>
      <w:r>
        <w:rPr>
          <w:rFonts w:hint="eastAsia" w:ascii="仿宋_GB2312" w:eastAsia="仿宋_GB2312"/>
          <w:b/>
          <w:bCs/>
          <w:sz w:val="32"/>
          <w:szCs w:val="32"/>
          <w:lang w:val="en-US" w:eastAsia="zh-CN"/>
        </w:rPr>
        <w:t xml:space="preserve">  </w:t>
      </w:r>
      <w:r>
        <w:rPr>
          <w:rFonts w:hint="eastAsia" w:ascii="仿宋_GB2312" w:eastAsia="仿宋_GB2312"/>
          <w:b/>
          <w:bCs/>
          <w:sz w:val="32"/>
          <w:szCs w:val="32"/>
        </w:rPr>
        <w:t>联系电话</w:t>
      </w:r>
      <w:r>
        <w:rPr>
          <w:rFonts w:hint="eastAsia" w:ascii="仿宋_GB2312" w:eastAsia="仿宋_GB2312"/>
          <w:sz w:val="32"/>
          <w:szCs w:val="32"/>
        </w:rPr>
        <w:t>：（0311）88990850   88990851</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b/>
          <w:bCs/>
          <w:sz w:val="32"/>
          <w:szCs w:val="32"/>
        </w:rPr>
        <w:t>传    真</w:t>
      </w:r>
      <w:r>
        <w:rPr>
          <w:rFonts w:hint="eastAsia" w:ascii="仿宋_GB2312" w:eastAsia="仿宋_GB2312"/>
          <w:sz w:val="32"/>
          <w:szCs w:val="32"/>
        </w:rPr>
        <w:t>：（0311）66505385   66506805</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 xml:space="preserve">  </w:t>
      </w:r>
      <w:r>
        <w:rPr>
          <w:rFonts w:hint="eastAsia" w:ascii="仿宋_GB2312" w:eastAsia="仿宋_GB2312"/>
          <w:b/>
          <w:bCs/>
          <w:sz w:val="32"/>
          <w:szCs w:val="32"/>
        </w:rPr>
        <w:t>电子邮箱：hyb325＠126.com</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hint="eastAsia" w:ascii="仿宋_GB2312" w:eastAsia="仿宋_GB2312"/>
          <w:b/>
          <w:bCs/>
          <w:sz w:val="32"/>
          <w:szCs w:val="32"/>
        </w:rPr>
      </w:pPr>
      <w:r>
        <w:rPr>
          <w:rFonts w:hint="eastAsia" w:ascii="仿宋_GB2312" w:eastAsia="仿宋_GB2312"/>
          <w:b/>
          <w:bCs/>
          <w:sz w:val="32"/>
          <w:szCs w:val="32"/>
        </w:rPr>
        <w:t>润千秋商学院</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ascii="仿宋_GB2312" w:eastAsia="仿宋_GB2312"/>
          <w:b/>
          <w:bCs/>
          <w:sz w:val="32"/>
          <w:szCs w:val="32"/>
        </w:rPr>
      </w:pPr>
      <w:r>
        <w:rPr>
          <w:rFonts w:hint="eastAsia" w:ascii="仿宋_GB2312" w:eastAsia="仿宋_GB2312"/>
          <w:b/>
          <w:bCs/>
          <w:sz w:val="32"/>
          <w:szCs w:val="32"/>
          <w:lang w:val="en-US" w:eastAsia="zh-CN"/>
        </w:rPr>
        <w:t xml:space="preserve">  </w:t>
      </w:r>
      <w:r>
        <w:rPr>
          <w:rFonts w:hint="eastAsia" w:ascii="仿宋_GB2312" w:eastAsia="仿宋_GB2312"/>
          <w:b/>
          <w:bCs/>
          <w:sz w:val="32"/>
          <w:szCs w:val="32"/>
        </w:rPr>
        <w:t>联</w:t>
      </w:r>
      <w:r>
        <w:rPr>
          <w:rFonts w:hint="eastAsia" w:ascii="仿宋_GB2312" w:eastAsia="仿宋_GB2312"/>
          <w:b/>
          <w:bCs/>
          <w:sz w:val="32"/>
          <w:szCs w:val="32"/>
          <w:lang w:val="en-US" w:eastAsia="zh-CN"/>
        </w:rPr>
        <w:t xml:space="preserve"> </w:t>
      </w:r>
      <w:r>
        <w:rPr>
          <w:rFonts w:hint="eastAsia" w:ascii="仿宋_GB2312" w:eastAsia="仿宋_GB2312"/>
          <w:b/>
          <w:bCs/>
          <w:sz w:val="32"/>
          <w:szCs w:val="32"/>
        </w:rPr>
        <w:t>系</w:t>
      </w:r>
      <w:r>
        <w:rPr>
          <w:rFonts w:hint="eastAsia" w:ascii="仿宋_GB2312" w:eastAsia="仿宋_GB2312"/>
          <w:b/>
          <w:bCs/>
          <w:sz w:val="32"/>
          <w:szCs w:val="32"/>
          <w:lang w:val="en-US" w:eastAsia="zh-CN"/>
        </w:rPr>
        <w:t xml:space="preserve"> </w:t>
      </w:r>
      <w:r>
        <w:rPr>
          <w:rFonts w:hint="eastAsia" w:ascii="仿宋_GB2312" w:eastAsia="仿宋_GB2312"/>
          <w:b/>
          <w:bCs/>
          <w:sz w:val="32"/>
          <w:szCs w:val="32"/>
        </w:rPr>
        <w:t>人：袁帅</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964" w:firstLineChars="300"/>
        <w:textAlignment w:val="auto"/>
        <w:outlineLvl w:val="9"/>
        <w:rPr>
          <w:rFonts w:ascii="仿宋_GB2312" w:eastAsia="仿宋_GB2312"/>
          <w:sz w:val="32"/>
          <w:szCs w:val="32"/>
        </w:rPr>
      </w:pPr>
      <w:r>
        <w:rPr>
          <w:rFonts w:hint="eastAsia" w:ascii="仿宋_GB2312" w:eastAsia="仿宋_GB2312"/>
          <w:b/>
          <w:bCs/>
          <w:sz w:val="32"/>
          <w:szCs w:val="32"/>
          <w:lang w:val="en-US" w:eastAsia="zh-CN"/>
        </w:rPr>
        <w:t xml:space="preserve">  </w:t>
      </w:r>
      <w:r>
        <w:rPr>
          <w:rFonts w:hint="eastAsia" w:ascii="仿宋_GB2312" w:eastAsia="仿宋_GB2312"/>
          <w:b/>
          <w:bCs/>
          <w:sz w:val="32"/>
          <w:szCs w:val="32"/>
        </w:rPr>
        <w:t>联系手机：</w:t>
      </w:r>
      <w:r>
        <w:rPr>
          <w:rFonts w:hint="eastAsia" w:ascii="仿宋_GB2312" w:eastAsia="仿宋_GB2312"/>
          <w:sz w:val="32"/>
          <w:szCs w:val="32"/>
        </w:rPr>
        <w:t>15033088868</w:t>
      </w:r>
    </w:p>
    <w:p>
      <w:pPr>
        <w:pStyle w:val="12"/>
        <w:ind w:left="720" w:firstLine="0" w:firstLineChars="0"/>
        <w:jc w:val="left"/>
        <w:rPr>
          <w:rFonts w:ascii="仿宋_GB2312" w:eastAsia="仿宋_GB2312"/>
          <w:sz w:val="32"/>
          <w:szCs w:val="32"/>
        </w:rPr>
      </w:pPr>
    </w:p>
    <w:p>
      <w:pPr>
        <w:pStyle w:val="12"/>
        <w:ind w:left="720" w:firstLine="0" w:firstLineChars="0"/>
        <w:jc w:val="left"/>
        <w:rPr>
          <w:rFonts w:ascii="仿宋_GB2312" w:eastAsia="仿宋_GB2312"/>
          <w:sz w:val="32"/>
          <w:szCs w:val="32"/>
        </w:rPr>
      </w:pPr>
    </w:p>
    <w:p>
      <w:pPr>
        <w:pStyle w:val="12"/>
        <w:ind w:left="720" w:firstLine="0" w:firstLineChars="0"/>
        <w:jc w:val="left"/>
        <w:rPr>
          <w:rFonts w:ascii="仿宋_GB2312" w:eastAsia="仿宋_GB2312"/>
          <w:sz w:val="32"/>
          <w:szCs w:val="32"/>
        </w:rPr>
      </w:pPr>
    </w:p>
    <w:p>
      <w:pPr>
        <w:pStyle w:val="12"/>
        <w:ind w:left="720" w:firstLine="0" w:firstLineChars="0"/>
        <w:jc w:val="left"/>
        <w:rPr>
          <w:rFonts w:ascii="仿宋_GB2312" w:eastAsia="仿宋_GB2312"/>
          <w:sz w:val="32"/>
          <w:szCs w:val="32"/>
        </w:rPr>
      </w:pPr>
    </w:p>
    <w:p>
      <w:pPr>
        <w:pStyle w:val="12"/>
        <w:ind w:left="720" w:firstLine="0" w:firstLineChars="0"/>
        <w:jc w:val="left"/>
        <w:rPr>
          <w:rFonts w:ascii="仿宋_GB2312" w:eastAsia="仿宋_GB2312"/>
          <w:sz w:val="32"/>
          <w:szCs w:val="32"/>
        </w:rPr>
      </w:pPr>
    </w:p>
    <w:p>
      <w:pPr>
        <w:pStyle w:val="12"/>
        <w:ind w:left="720" w:firstLine="0" w:firstLineChars="0"/>
        <w:jc w:val="left"/>
        <w:rPr>
          <w:rFonts w:ascii="仿宋_GB2312" w:eastAsia="仿宋_GB2312"/>
          <w:sz w:val="32"/>
          <w:szCs w:val="32"/>
        </w:rPr>
      </w:pPr>
    </w:p>
    <w:p>
      <w:pPr>
        <w:pStyle w:val="12"/>
        <w:ind w:left="0" w:leftChars="0" w:firstLine="0" w:firstLineChars="0"/>
        <w:jc w:val="left"/>
        <w:rPr>
          <w:rFonts w:hint="eastAsia" w:ascii="仿宋_GB2312" w:eastAsia="仿宋_GB2312"/>
          <w:b/>
          <w:bCs/>
          <w:sz w:val="32"/>
          <w:szCs w:val="32"/>
        </w:rPr>
      </w:pPr>
      <w:r>
        <w:rPr>
          <w:rFonts w:hint="eastAsia" w:ascii="仿宋_GB2312" w:eastAsia="仿宋_GB2312"/>
          <w:b/>
          <w:bCs/>
          <w:sz w:val="32"/>
          <w:szCs w:val="32"/>
        </w:rPr>
        <w:t>附件</w:t>
      </w:r>
      <w:r>
        <w:rPr>
          <w:rFonts w:hint="eastAsia" w:ascii="仿宋_GB2312" w:eastAsia="仿宋_GB2312"/>
          <w:b/>
          <w:bCs/>
          <w:sz w:val="32"/>
          <w:szCs w:val="32"/>
          <w:lang w:val="en-US" w:eastAsia="zh-CN"/>
        </w:rPr>
        <w:t>1</w:t>
      </w:r>
    </w:p>
    <w:p>
      <w:pPr>
        <w:pStyle w:val="12"/>
        <w:ind w:left="0" w:lef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培训时间及课程安排</w:t>
      </w:r>
    </w:p>
    <w:tbl>
      <w:tblPr>
        <w:tblStyle w:val="9"/>
        <w:tblpPr w:leftFromText="180" w:rightFromText="180" w:vertAnchor="text" w:horzAnchor="margin" w:tblpXSpec="center" w:tblpY="353"/>
        <w:tblW w:w="10312" w:type="dxa"/>
        <w:jc w:val="center"/>
        <w:tblInd w:w="0" w:type="dxa"/>
        <w:tblLayout w:type="fixed"/>
        <w:tblCellMar>
          <w:top w:w="0" w:type="dxa"/>
          <w:left w:w="0" w:type="dxa"/>
          <w:bottom w:w="0" w:type="dxa"/>
          <w:right w:w="0" w:type="dxa"/>
        </w:tblCellMar>
      </w:tblPr>
      <w:tblGrid>
        <w:gridCol w:w="2644"/>
        <w:gridCol w:w="7668"/>
      </w:tblGrid>
      <w:tr>
        <w:tblPrEx>
          <w:tblLayout w:type="fixed"/>
          <w:tblCellMar>
            <w:top w:w="0" w:type="dxa"/>
            <w:left w:w="0" w:type="dxa"/>
            <w:bottom w:w="0" w:type="dxa"/>
            <w:right w:w="0" w:type="dxa"/>
          </w:tblCellMar>
        </w:tblPrEx>
        <w:trPr>
          <w:trHeight w:val="482" w:hRule="exact"/>
          <w:jc w:val="center"/>
        </w:trPr>
        <w:tc>
          <w:tcPr>
            <w:tcW w:w="2644" w:type="dxa"/>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center"/>
              <w:rPr>
                <w:rFonts w:ascii="仿宋_GB2312" w:eastAsia="仿宋_GB2312"/>
                <w:b/>
                <w:bCs/>
                <w:sz w:val="32"/>
                <w:szCs w:val="32"/>
              </w:rPr>
            </w:pPr>
            <w:r>
              <w:rPr>
                <w:rFonts w:hint="eastAsia" w:ascii="仿宋_GB2312" w:hAnsi="宋体" w:eastAsia="仿宋_GB2312" w:cs="宋体"/>
                <w:b/>
                <w:bCs/>
                <w:color w:val="444444"/>
                <w:sz w:val="32"/>
                <w:szCs w:val="32"/>
                <w:shd w:val="clear" w:color="auto" w:fill="FFFFFF"/>
              </w:rPr>
              <w:t>日期</w:t>
            </w:r>
          </w:p>
        </w:tc>
        <w:tc>
          <w:tcPr>
            <w:tcW w:w="7668" w:type="dxa"/>
            <w:tcBorders>
              <w:top w:val="single" w:color="000000" w:sz="6" w:space="0"/>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center"/>
              <w:rPr>
                <w:rFonts w:ascii="仿宋_GB2312" w:eastAsia="仿宋_GB2312"/>
                <w:b/>
                <w:bCs/>
                <w:sz w:val="32"/>
                <w:szCs w:val="32"/>
              </w:rPr>
            </w:pPr>
            <w:r>
              <w:rPr>
                <w:rStyle w:val="8"/>
                <w:rFonts w:hint="eastAsia" w:ascii="仿宋_GB2312" w:hAnsi="宋体" w:eastAsia="仿宋_GB2312" w:cs="宋体"/>
                <w:b/>
                <w:bCs/>
                <w:color w:val="444444"/>
                <w:sz w:val="32"/>
                <w:szCs w:val="32"/>
                <w:shd w:val="clear" w:color="auto" w:fill="FFFFFF"/>
              </w:rPr>
              <w:t>课程内容</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jc w:val="left"/>
              <w:textAlignment w:val="auto"/>
              <w:outlineLvl w:val="9"/>
              <w:rPr>
                <w:rFonts w:ascii="仿宋_GB2312" w:eastAsia="仿宋_GB2312"/>
                <w:sz w:val="32"/>
                <w:szCs w:val="32"/>
              </w:rPr>
            </w:pPr>
            <w:r>
              <w:rPr>
                <w:rFonts w:hint="eastAsia" w:ascii="仿宋_GB2312" w:eastAsia="仿宋_GB2312"/>
                <w:sz w:val="32"/>
                <w:szCs w:val="32"/>
                <w:lang w:val="en-US" w:eastAsia="zh-CN"/>
              </w:rPr>
              <w:t>2017年</w:t>
            </w:r>
            <w:r>
              <w:rPr>
                <w:rFonts w:hint="eastAsia" w:ascii="仿宋_GB2312" w:eastAsia="仿宋_GB2312"/>
                <w:sz w:val="32"/>
                <w:szCs w:val="32"/>
              </w:rPr>
              <w:t>2月25日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习近平治国方略</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3月</w:t>
            </w:r>
            <w:r>
              <w:rPr>
                <w:rFonts w:hint="eastAsia" w:ascii="仿宋_GB2312" w:hAnsi="Helvetica" w:eastAsia="仿宋_GB2312" w:cs="Helvetica"/>
                <w:color w:val="444444"/>
                <w:sz w:val="32"/>
                <w:szCs w:val="32"/>
                <w:shd w:val="clear" w:color="auto" w:fill="FFFFFF"/>
              </w:rPr>
              <w:t>11</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国内外宏观经济走势分析</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3月</w:t>
            </w:r>
            <w:r>
              <w:rPr>
                <w:rFonts w:hint="eastAsia" w:ascii="仿宋_GB2312" w:hAnsi="Helvetica" w:eastAsia="仿宋_GB2312" w:cs="Helvetica"/>
                <w:color w:val="444444"/>
                <w:sz w:val="32"/>
                <w:szCs w:val="32"/>
                <w:shd w:val="clear" w:color="auto" w:fill="FFFFFF"/>
              </w:rPr>
              <w:t>25</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国家对中小企业发展政策及融资、技改政策解读</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4月</w:t>
            </w:r>
            <w:r>
              <w:rPr>
                <w:rFonts w:hint="eastAsia" w:ascii="仿宋_GB2312" w:hAnsi="Helvetica" w:eastAsia="仿宋_GB2312" w:cs="Helvetica"/>
                <w:color w:val="444444"/>
                <w:sz w:val="32"/>
                <w:szCs w:val="32"/>
                <w:shd w:val="clear" w:color="auto" w:fill="FFFFFF"/>
              </w:rPr>
              <w:t>8</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企业战略管理新思维</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4月</w:t>
            </w:r>
            <w:r>
              <w:rPr>
                <w:rFonts w:hint="eastAsia" w:ascii="仿宋_GB2312" w:hAnsi="Helvetica" w:eastAsia="仿宋_GB2312" w:cs="Helvetica"/>
                <w:color w:val="444444"/>
                <w:sz w:val="32"/>
                <w:szCs w:val="32"/>
                <w:shd w:val="clear" w:color="auto" w:fill="FFFFFF"/>
              </w:rPr>
              <w:t>22</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毛泽东战略智慧</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5月</w:t>
            </w:r>
            <w:r>
              <w:rPr>
                <w:rFonts w:hint="eastAsia" w:ascii="仿宋_GB2312" w:hAnsi="Helvetica" w:eastAsia="仿宋_GB2312" w:cs="Helvetica"/>
                <w:color w:val="444444"/>
                <w:sz w:val="32"/>
                <w:szCs w:val="32"/>
                <w:shd w:val="clear" w:color="auto" w:fill="FFFFFF"/>
              </w:rPr>
              <w:t>6</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公司组织与治理</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5月</w:t>
            </w:r>
            <w:r>
              <w:rPr>
                <w:rFonts w:hint="eastAsia" w:ascii="仿宋_GB2312" w:hAnsi="Helvetica" w:eastAsia="仿宋_GB2312" w:cs="Helvetica"/>
                <w:color w:val="444444"/>
                <w:sz w:val="32"/>
                <w:szCs w:val="32"/>
                <w:shd w:val="clear" w:color="auto" w:fill="FFFFFF"/>
              </w:rPr>
              <w:t>20</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shd w:val="clear" w:color="auto" w:fill="FFFFFF"/>
              </w:rPr>
              <w:t>移动课堂</w:t>
            </w:r>
            <w:r>
              <w:rPr>
                <w:rFonts w:hint="eastAsia" w:ascii="宋体" w:hAnsi="宋体" w:eastAsia="仿宋_GB2312" w:cs="宋体"/>
                <w:color w:val="auto"/>
                <w:sz w:val="32"/>
                <w:szCs w:val="32"/>
                <w:shd w:val="clear" w:color="auto" w:fill="FFFFFF"/>
              </w:rPr>
              <w:t> </w:t>
            </w:r>
            <w:r>
              <w:rPr>
                <w:rFonts w:hint="eastAsia" w:ascii="仿宋_GB2312" w:hAnsi="宋体" w:eastAsia="仿宋_GB2312" w:cs="宋体"/>
                <w:color w:val="auto"/>
                <w:sz w:val="32"/>
                <w:szCs w:val="32"/>
                <w:shd w:val="clear" w:color="auto" w:fill="FFFFFF"/>
              </w:rPr>
              <w:t>走进华为（费用另算）</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color w:val="444444"/>
                <w:sz w:val="32"/>
                <w:szCs w:val="32"/>
                <w:shd w:val="clear" w:color="auto" w:fill="FFFFFF"/>
              </w:rPr>
              <w:t>6月</w:t>
            </w:r>
            <w:r>
              <w:rPr>
                <w:rFonts w:hint="eastAsia" w:ascii="仿宋_GB2312" w:hAnsi="Helvetica" w:eastAsia="仿宋_GB2312" w:cs="Helvetica"/>
                <w:color w:val="444444"/>
                <w:sz w:val="32"/>
                <w:szCs w:val="32"/>
                <w:shd w:val="clear" w:color="auto" w:fill="FFFFFF"/>
              </w:rPr>
              <w:t>3</w:t>
            </w:r>
            <w:r>
              <w:rPr>
                <w:rFonts w:hint="eastAsia" w:ascii="仿宋_GB2312" w:hAnsi="宋体" w:eastAsia="仿宋_GB2312" w:cs="宋体"/>
                <w:color w:val="444444"/>
                <w:sz w:val="32"/>
                <w:szCs w:val="32"/>
                <w:shd w:val="clear" w:color="auto" w:fill="FFFFFF"/>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企业商业模式设计与创新（盈利模式设计的</w:t>
            </w:r>
            <w:r>
              <w:rPr>
                <w:rFonts w:hint="eastAsia" w:ascii="仿宋_GB2312" w:hAnsi="Calibri" w:eastAsia="仿宋_GB2312" w:cs="Calibri"/>
                <w:color w:val="auto"/>
                <w:sz w:val="32"/>
                <w:szCs w:val="32"/>
              </w:rPr>
              <w:t>12</w:t>
            </w:r>
            <w:r>
              <w:rPr>
                <w:rFonts w:hint="eastAsia" w:ascii="仿宋_GB2312" w:hAnsi="宋体" w:eastAsia="仿宋_GB2312" w:cs="宋体"/>
                <w:color w:val="auto"/>
                <w:sz w:val="32"/>
                <w:szCs w:val="32"/>
              </w:rPr>
              <w:t>个步骤）</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6月</w:t>
            </w:r>
            <w:r>
              <w:rPr>
                <w:rFonts w:hint="eastAsia" w:ascii="仿宋_GB2312" w:hAnsi="Calibri" w:eastAsia="仿宋_GB2312" w:cs="Calibri"/>
                <w:sz w:val="32"/>
                <w:szCs w:val="32"/>
              </w:rPr>
              <w:t>17</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品牌战略与创新经营</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7月</w:t>
            </w:r>
            <w:r>
              <w:rPr>
                <w:rFonts w:hint="eastAsia" w:ascii="仿宋_GB2312" w:hAnsi="Calibri" w:eastAsia="仿宋_GB2312" w:cs="Calibri"/>
                <w:sz w:val="32"/>
                <w:szCs w:val="32"/>
              </w:rPr>
              <w:t>1</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鬼谷子大商经略</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7月</w:t>
            </w:r>
            <w:r>
              <w:rPr>
                <w:rFonts w:hint="eastAsia" w:ascii="仿宋_GB2312" w:hAnsi="Calibri" w:eastAsia="仿宋_GB2312" w:cs="Calibri"/>
                <w:sz w:val="32"/>
                <w:szCs w:val="32"/>
              </w:rPr>
              <w:t>15</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Calibri" w:eastAsia="仿宋_GB2312" w:cs="Calibri"/>
                <w:color w:val="auto"/>
                <w:sz w:val="32"/>
                <w:szCs w:val="32"/>
              </w:rPr>
              <w:t>危机管理与媒体应对</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7月</w:t>
            </w:r>
            <w:r>
              <w:rPr>
                <w:rFonts w:hint="eastAsia" w:ascii="仿宋_GB2312" w:hAnsi="Calibri" w:eastAsia="仿宋_GB2312" w:cs="Calibri"/>
                <w:sz w:val="32"/>
                <w:szCs w:val="32"/>
              </w:rPr>
              <w:t>29</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公司经营法律风险管理</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8月</w:t>
            </w:r>
            <w:r>
              <w:rPr>
                <w:rFonts w:hint="eastAsia" w:ascii="仿宋_GB2312" w:hAnsi="Calibri" w:eastAsia="仿宋_GB2312" w:cs="Calibri"/>
                <w:sz w:val="32"/>
                <w:szCs w:val="32"/>
              </w:rPr>
              <w:t>5</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企业的纳税规划与风险控制</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8月</w:t>
            </w:r>
            <w:r>
              <w:rPr>
                <w:rFonts w:hint="eastAsia" w:ascii="仿宋_GB2312" w:hAnsi="Calibri" w:eastAsia="仿宋_GB2312" w:cs="Calibri"/>
                <w:sz w:val="32"/>
                <w:szCs w:val="32"/>
              </w:rPr>
              <w:t>19</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总裁个人的财务管理</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9月</w:t>
            </w:r>
            <w:r>
              <w:rPr>
                <w:rFonts w:hint="eastAsia" w:ascii="仿宋_GB2312" w:hAnsi="Calibri" w:eastAsia="仿宋_GB2312" w:cs="Calibri"/>
                <w:sz w:val="32"/>
                <w:szCs w:val="32"/>
              </w:rPr>
              <w:t>2</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大数据分析对互联网金融的价值</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9月</w:t>
            </w:r>
            <w:r>
              <w:rPr>
                <w:rFonts w:hint="eastAsia" w:ascii="仿宋_GB2312" w:hAnsi="Calibri" w:eastAsia="仿宋_GB2312" w:cs="Calibri"/>
                <w:sz w:val="32"/>
                <w:szCs w:val="32"/>
              </w:rPr>
              <w:t>16</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互联网思维与企业瓶颈突破</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9月</w:t>
            </w:r>
            <w:r>
              <w:rPr>
                <w:rFonts w:hint="eastAsia" w:ascii="仿宋_GB2312" w:hAnsi="Calibri" w:eastAsia="仿宋_GB2312" w:cs="Calibri"/>
                <w:sz w:val="32"/>
                <w:szCs w:val="32"/>
              </w:rPr>
              <w:t>23</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卓越领导者心智模式</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10月</w:t>
            </w:r>
            <w:r>
              <w:rPr>
                <w:rFonts w:hint="eastAsia" w:ascii="仿宋_GB2312" w:hAnsi="Calibri" w:eastAsia="仿宋_GB2312" w:cs="Calibri"/>
                <w:sz w:val="32"/>
                <w:szCs w:val="32"/>
              </w:rPr>
              <w:t>14</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Calibri" w:eastAsia="仿宋_GB2312" w:cs="Calibri"/>
                <w:color w:val="auto"/>
                <w:sz w:val="32"/>
                <w:szCs w:val="32"/>
              </w:rPr>
              <w:t>移动课堂</w:t>
            </w:r>
            <w:r>
              <w:rPr>
                <w:rFonts w:hint="eastAsia" w:ascii="宋体" w:hAnsi="宋体" w:eastAsia="仿宋_GB2312" w:cs="宋体"/>
                <w:color w:val="auto"/>
                <w:sz w:val="32"/>
                <w:szCs w:val="32"/>
              </w:rPr>
              <w:t> </w:t>
            </w:r>
            <w:r>
              <w:rPr>
                <w:rFonts w:hint="eastAsia" w:ascii="仿宋_GB2312" w:hAnsi="宋体" w:eastAsia="仿宋_GB2312" w:cs="宋体"/>
                <w:color w:val="auto"/>
                <w:sz w:val="32"/>
                <w:szCs w:val="32"/>
              </w:rPr>
              <w:t>走进阿里巴巴</w:t>
            </w:r>
            <w:r>
              <w:rPr>
                <w:rFonts w:hint="eastAsia" w:ascii="仿宋_GB2312" w:hAnsi="宋体" w:eastAsia="仿宋_GB2312" w:cs="宋体"/>
                <w:color w:val="auto"/>
                <w:sz w:val="32"/>
                <w:szCs w:val="32"/>
                <w:shd w:val="clear" w:color="auto" w:fill="FFFFFF"/>
              </w:rPr>
              <w:t>（费用另算）</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10月</w:t>
            </w:r>
            <w:r>
              <w:rPr>
                <w:rFonts w:hint="eastAsia" w:ascii="仿宋_GB2312" w:hAnsi="Calibri" w:eastAsia="仿宋_GB2312" w:cs="Calibri"/>
                <w:sz w:val="32"/>
                <w:szCs w:val="32"/>
              </w:rPr>
              <w:t>28</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企业资本运作与融资</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11月</w:t>
            </w:r>
            <w:r>
              <w:rPr>
                <w:rFonts w:hint="eastAsia" w:ascii="仿宋_GB2312" w:hAnsi="Calibri" w:eastAsia="仿宋_GB2312" w:cs="Calibri"/>
                <w:sz w:val="32"/>
                <w:szCs w:val="32"/>
              </w:rPr>
              <w:t>11</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现代金融与企业发展</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11月</w:t>
            </w:r>
            <w:r>
              <w:rPr>
                <w:rFonts w:hint="eastAsia" w:ascii="仿宋_GB2312" w:hAnsi="Calibri" w:eastAsia="仿宋_GB2312" w:cs="Calibri"/>
                <w:sz w:val="32"/>
                <w:szCs w:val="32"/>
              </w:rPr>
              <w:t>25</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股权激励</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12月</w:t>
            </w:r>
            <w:r>
              <w:rPr>
                <w:rFonts w:hint="eastAsia" w:ascii="仿宋_GB2312" w:hAnsi="Calibri" w:eastAsia="仿宋_GB2312" w:cs="Calibri"/>
                <w:sz w:val="32"/>
                <w:szCs w:val="32"/>
              </w:rPr>
              <w:t>9</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私募股权投资基金</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6"/>
              <w:widowControl/>
              <w:wordWrap/>
              <w:spacing w:beforeAutospacing="0" w:afterAutospacing="0"/>
              <w:jc w:val="left"/>
              <w:rPr>
                <w:rFonts w:ascii="仿宋_GB2312" w:eastAsia="仿宋_GB2312"/>
                <w:sz w:val="32"/>
                <w:szCs w:val="32"/>
              </w:rPr>
            </w:pPr>
            <w:r>
              <w:rPr>
                <w:rFonts w:hint="eastAsia" w:ascii="仿宋_GB2312" w:hAnsi="宋体" w:eastAsia="仿宋_GB2312" w:cs="宋体"/>
                <w:sz w:val="32"/>
                <w:szCs w:val="32"/>
              </w:rPr>
              <w:t>12月</w:t>
            </w:r>
            <w:r>
              <w:rPr>
                <w:rFonts w:hint="eastAsia" w:ascii="仿宋_GB2312" w:hAnsi="Calibri" w:eastAsia="仿宋_GB2312" w:cs="Calibri"/>
                <w:sz w:val="32"/>
                <w:szCs w:val="32"/>
              </w:rPr>
              <w:t>23</w:t>
            </w:r>
            <w:r>
              <w:rPr>
                <w:rFonts w:hint="eastAsia" w:ascii="仿宋_GB2312" w:hAnsi="宋体" w:eastAsia="仿宋_GB2312" w:cs="宋体"/>
                <w:sz w:val="32"/>
                <w:szCs w:val="32"/>
              </w:rPr>
              <w:t>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孙子兵法与企业经营管理</w:t>
            </w:r>
          </w:p>
        </w:tc>
      </w:tr>
      <w:tr>
        <w:tblPrEx>
          <w:tblLayout w:type="fixed"/>
          <w:tblCellMar>
            <w:top w:w="0" w:type="dxa"/>
            <w:left w:w="0" w:type="dxa"/>
            <w:bottom w:w="0" w:type="dxa"/>
            <w:right w:w="0" w:type="dxa"/>
          </w:tblCellMar>
        </w:tblPrEx>
        <w:trPr>
          <w:trHeight w:val="482" w:hRule="exact"/>
          <w:jc w:val="center"/>
        </w:trPr>
        <w:tc>
          <w:tcPr>
            <w:tcW w:w="2644" w:type="dxa"/>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jc w:val="left"/>
              <w:textAlignment w:val="auto"/>
              <w:outlineLvl w:val="9"/>
              <w:rPr>
                <w:rFonts w:ascii="仿宋_GB2312" w:eastAsia="仿宋_GB2312"/>
                <w:sz w:val="32"/>
                <w:szCs w:val="32"/>
              </w:rPr>
            </w:pPr>
            <w:r>
              <w:rPr>
                <w:rFonts w:hint="eastAsia" w:ascii="仿宋_GB2312" w:eastAsia="仿宋_GB2312"/>
                <w:sz w:val="32"/>
                <w:szCs w:val="32"/>
              </w:rPr>
              <w:t>2018年1月13日</w:t>
            </w:r>
          </w:p>
        </w:tc>
        <w:tc>
          <w:tcPr>
            <w:tcW w:w="7668" w:type="dxa"/>
            <w:tcBorders>
              <w:top w:val="nil"/>
              <w:left w:val="nil"/>
              <w:bottom w:val="single" w:color="000000" w:sz="6" w:space="0"/>
              <w:right w:val="single" w:color="000000" w:sz="6" w:space="0"/>
            </w:tcBorders>
            <w:shd w:val="clear" w:color="auto" w:fill="auto"/>
            <w:tcMar>
              <w:left w:w="105" w:type="dxa"/>
              <w:right w:w="105" w:type="dxa"/>
            </w:tcMar>
            <w:vAlign w:val="top"/>
          </w:tcPr>
          <w:p>
            <w:pPr>
              <w:pStyle w:val="6"/>
              <w:widowControl/>
              <w:wordWrap w:val="0"/>
              <w:spacing w:beforeAutospacing="0" w:afterAutospacing="0"/>
              <w:jc w:val="left"/>
              <w:rPr>
                <w:rFonts w:ascii="仿宋_GB2312" w:eastAsia="仿宋_GB2312"/>
                <w:color w:val="auto"/>
                <w:sz w:val="32"/>
                <w:szCs w:val="32"/>
              </w:rPr>
            </w:pPr>
            <w:r>
              <w:rPr>
                <w:rFonts w:hint="eastAsia" w:ascii="仿宋_GB2312" w:hAnsi="宋体" w:eastAsia="仿宋_GB2312" w:cs="宋体"/>
                <w:color w:val="auto"/>
                <w:sz w:val="32"/>
                <w:szCs w:val="32"/>
              </w:rPr>
              <w:t>提高领导者的个人影响力</w:t>
            </w:r>
          </w:p>
        </w:tc>
      </w:tr>
    </w:tbl>
    <w:p>
      <w:pPr>
        <w:pStyle w:val="12"/>
        <w:ind w:left="0" w:leftChars="0" w:firstLine="0" w:firstLineChars="0"/>
        <w:jc w:val="left"/>
        <w:rPr>
          <w:rFonts w:hint="eastAsia" w:ascii="仿宋_GB2312" w:eastAsia="仿宋_GB2312"/>
          <w:b/>
          <w:bCs/>
          <w:sz w:val="32"/>
          <w:szCs w:val="32"/>
          <w:lang w:val="en-US" w:eastAsia="zh-CN"/>
        </w:rPr>
      </w:pPr>
      <w:r>
        <w:rPr>
          <w:rFonts w:hint="eastAsia" w:ascii="仿宋_GB2312" w:eastAsia="仿宋_GB2312"/>
          <w:b/>
          <w:bCs/>
          <w:sz w:val="32"/>
          <w:szCs w:val="32"/>
        </w:rPr>
        <w:t>附件</w:t>
      </w:r>
      <w:r>
        <w:rPr>
          <w:rFonts w:hint="eastAsia" w:ascii="仿宋_GB2312" w:eastAsia="仿宋_GB2312"/>
          <w:b/>
          <w:bCs/>
          <w:sz w:val="32"/>
          <w:szCs w:val="32"/>
          <w:lang w:val="en-US" w:eastAsia="zh-CN"/>
        </w:rPr>
        <w:t>2</w:t>
      </w:r>
    </w:p>
    <w:p>
      <w:pPr>
        <w:pStyle w:val="12"/>
        <w:ind w:left="0" w:lef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参与授课的部分专家学者介绍</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Style w:val="8"/>
          <w:rFonts w:hint="eastAsia" w:ascii="仿宋_GB2312" w:hAnsi="Helvetica Neue" w:eastAsia="仿宋_GB2312" w:cs="Helvetica Neue"/>
          <w:color w:val="3E3E3E"/>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kern w:val="0"/>
          <w:sz w:val="32"/>
          <w:szCs w:val="32"/>
        </w:rPr>
        <w:t>杨世文</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全国哲学社会科学评审专家，北京市“新世</w:t>
      </w:r>
      <w:r>
        <w:rPr>
          <w:rFonts w:hint="eastAsia" w:ascii="仿宋_GB2312" w:hAnsi="Helvetica Neue" w:eastAsia="仿宋_GB2312" w:cs="Helvetica Neue"/>
          <w:color w:val="3E3E3E"/>
          <w:sz w:val="32"/>
          <w:szCs w:val="32"/>
        </w:rPr>
        <w:t>纪百人工程培养人选”。</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何茂春</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国家政策研究中心高级研究员。</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周</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红</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清华大学五道口经融学院特聘教授，参与过20余家企业上市及融资服务等。</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刘平安</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长期以来为政府、企业和机构投资者担任咨询顾问,累计经手大型咨询案例数宗。</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宋洪祥</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我国著名税务专家，现任“中国纳税筹划网”总裁、“亚太国际税收教育研究会”副会长。</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金</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超</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国务院国资委研究中心特邀专家，中国本土企业商业模式优化与设计专家。</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万</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钧</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为跨国公司及近百家中小型企业提供专题培训、策划咨询等深度服务。</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张</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勇</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10余年咨询经验，大型咨询公司高级合伙人。</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贺正生</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清华大学、浙江大学EMBA总裁班客座教授、《劳动合同法》立法课题研究组成员。</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靳</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毅</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京东股权众筹投资总监和京东众创生态负责人。</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陆满平</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中国社会科学院产业经济学博士。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池</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强</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pacing w:val="-12"/>
          <w:sz w:val="32"/>
          <w:szCs w:val="32"/>
        </w:rPr>
        <w:t>清华大学工商管理硕士，北京大学MBA总裁班特邀导师。</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孙明高</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中央财经大学特聘讲师，国内银行大客户营销领域最资深的研究员和培训讲师之一。</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韩廷春</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清华大学公共管理学院经济学教授，博士生导师。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吴维库</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清华大学经济管理学院教授，博士生导师。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李真顺</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中国第一位持证演说家。</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李玲瑶</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经济学博士，执教于清华、北大、浙大等名校。</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张志伟</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北京盈科律师事务所合伙人律师，南开大学法学硕士， 国培机构特邀老师。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江</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英</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毛新宇的博士生导师。中央党校特邀研究员。</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矫培民</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我国著名房地产领域实践派专家、职业培训师、曾在万科任多个职位。</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周</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立</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管理学博士，清华大学经济管理学院会计系教授。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 xml:space="preserve">庞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红</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中国人民大学财政金融学院货币金融系教授。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张晓丽</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被誉为中小企业上市培育第一人。</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兰彦岭</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中国社科院鬼谷子研究分会常任理事，鬼谷</w:t>
      </w:r>
      <w:r>
        <w:rPr>
          <w:rFonts w:hint="eastAsia" w:ascii="Helvetica Neue" w:hAnsi="Helvetica Neue" w:eastAsia="仿宋_GB2312" w:cs="Helvetica Neue"/>
          <w:color w:val="3E3E3E"/>
          <w:sz w:val="32"/>
          <w:szCs w:val="32"/>
        </w:rPr>
        <w:t> </w:t>
      </w:r>
      <w:r>
        <w:rPr>
          <w:rFonts w:hint="eastAsia" w:ascii="仿宋_GB2312" w:hAnsi="Helvetica Neue" w:eastAsia="仿宋_GB2312" w:cs="Helvetica Neue"/>
          <w:color w:val="3E3E3E"/>
          <w:sz w:val="32"/>
          <w:szCs w:val="32"/>
        </w:rPr>
        <w:t>子智慧应用专家。</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沈宇庭</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Helvetica Neue" w:eastAsia="仿宋_GB2312" w:cs="Helvetica Neue"/>
          <w:color w:val="3E3E3E"/>
          <w:sz w:val="32"/>
          <w:szCs w:val="32"/>
        </w:rPr>
        <w:t>中国科学院博士研究生，商务部中小企业促进会理事</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臧其超</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中国营销学院院长，中国十大营销风云人物。</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马</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克</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清华北大总裁班特聘演讲训练师。</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爱新觉罗·启翊</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中国传统文化的启蒙者和推动者。</w:t>
      </w:r>
    </w:p>
    <w:p>
      <w:pPr>
        <w:keepNext w:val="0"/>
        <w:keepLines w:val="0"/>
        <w:pageBreakBefore w:val="0"/>
        <w:widowControl/>
        <w:kinsoku/>
        <w:wordWrap/>
        <w:overflowPunct/>
        <w:topLinePunct w:val="0"/>
        <w:autoSpaceDE/>
        <w:autoSpaceDN/>
        <w:bidi w:val="0"/>
        <w:adjustRightInd/>
        <w:snapToGrid/>
        <w:spacing w:line="560" w:lineRule="exact"/>
        <w:ind w:left="1893" w:leftChars="304" w:right="0" w:rightChars="0" w:hanging="1257" w:hangingChars="393"/>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袁</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冰</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创业易宝支付、中汇支付合伙人，好贷宝总裁。资深互联网及互联网金融专家。</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Helvetica Neue" w:eastAsia="仿宋_GB2312" w:cs="Helvetica Neue"/>
          <w:color w:val="3E3E3E"/>
          <w:sz w:val="32"/>
          <w:szCs w:val="32"/>
        </w:rPr>
      </w:pPr>
      <w:r>
        <w:rPr>
          <w:rStyle w:val="8"/>
          <w:rFonts w:hint="eastAsia" w:ascii="仿宋_GB2312" w:hAnsi="Helvetica Neue" w:eastAsia="仿宋_GB2312" w:cs="Helvetica Neue"/>
          <w:color w:val="3E3E3E"/>
          <w:sz w:val="32"/>
          <w:szCs w:val="32"/>
        </w:rPr>
        <w:t>王</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 xml:space="preserve"> </w:t>
      </w:r>
      <w:r>
        <w:rPr>
          <w:rStyle w:val="8"/>
          <w:rFonts w:hint="eastAsia" w:ascii="Helvetica Neue" w:hAnsi="Helvetica Neue" w:eastAsia="仿宋_GB2312" w:cs="Helvetica Neue"/>
          <w:color w:val="3E3E3E"/>
          <w:sz w:val="32"/>
          <w:szCs w:val="32"/>
        </w:rPr>
        <w:t> </w:t>
      </w:r>
      <w:r>
        <w:rPr>
          <w:rStyle w:val="8"/>
          <w:rFonts w:hint="eastAsia" w:ascii="仿宋_GB2312" w:hAnsi="Helvetica Neue" w:eastAsia="仿宋_GB2312" w:cs="Helvetica Neue"/>
          <w:color w:val="3E3E3E"/>
          <w:sz w:val="32"/>
          <w:szCs w:val="32"/>
        </w:rPr>
        <w:t>琼</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中信证券股份有限公司新三板业务部（筹）副总裁。</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ascii="仿宋_GB2312" w:hAnsi="宋体" w:eastAsia="仿宋_GB2312" w:cs="宋体"/>
          <w:color w:val="3E3E3E"/>
          <w:sz w:val="32"/>
          <w:szCs w:val="32"/>
        </w:rPr>
      </w:pPr>
      <w:r>
        <w:rPr>
          <w:rStyle w:val="8"/>
          <w:rFonts w:hint="eastAsia" w:ascii="仿宋_GB2312" w:hAnsi="Helvetica Neue" w:eastAsia="仿宋_GB2312" w:cs="Helvetica Neue"/>
          <w:color w:val="3E3E3E"/>
          <w:sz w:val="32"/>
          <w:szCs w:val="32"/>
        </w:rPr>
        <w:t>何志成</w:t>
      </w:r>
      <w:r>
        <w:rPr>
          <w:rFonts w:hint="eastAsia" w:ascii="Helvetica Neue" w:hAnsi="Helvetica Neue" w:eastAsia="仿宋_GB2312" w:cs="Helvetica Neue"/>
          <w:color w:val="3E3E3E"/>
          <w:kern w:val="0"/>
          <w:sz w:val="32"/>
          <w:szCs w:val="32"/>
        </w:rPr>
        <w:t>  </w:t>
      </w:r>
      <w:r>
        <w:rPr>
          <w:rFonts w:hint="eastAsia" w:ascii="仿宋_GB2312" w:hAnsi="Helvetica Neue" w:eastAsia="仿宋_GB2312" w:cs="Helvetica Neue"/>
          <w:color w:val="3E3E3E"/>
          <w:kern w:val="0"/>
          <w:sz w:val="32"/>
          <w:szCs w:val="32"/>
        </w:rPr>
        <w:t xml:space="preserve"> </w:t>
      </w:r>
      <w:r>
        <w:rPr>
          <w:rFonts w:hint="eastAsia" w:ascii="仿宋_GB2312" w:hAnsi="宋体" w:eastAsia="仿宋_GB2312" w:cs="宋体"/>
          <w:color w:val="3E3E3E"/>
          <w:sz w:val="32"/>
          <w:szCs w:val="32"/>
        </w:rPr>
        <w:t>中国农业银行总行高级经济师。</w:t>
      </w:r>
    </w:p>
    <w:p>
      <w:pPr>
        <w:pStyle w:val="6"/>
        <w:widowControl/>
        <w:spacing w:beforeAutospacing="0" w:afterAutospacing="0" w:line="360" w:lineRule="atLeast"/>
        <w:rPr>
          <w:rFonts w:ascii="仿宋_GB2312" w:hAnsi="宋体" w:eastAsia="仿宋_GB2312" w:cs="宋体"/>
          <w:color w:val="3E3E3E"/>
          <w:sz w:val="32"/>
          <w:szCs w:val="32"/>
        </w:rPr>
      </w:pPr>
    </w:p>
    <w:p>
      <w:pPr>
        <w:pStyle w:val="6"/>
        <w:widowControl/>
        <w:spacing w:beforeAutospacing="0" w:afterAutospacing="0" w:line="360" w:lineRule="atLeast"/>
        <w:rPr>
          <w:rFonts w:hint="eastAsia" w:ascii="仿宋_GB2312" w:hAnsi="Helvetica Neue" w:eastAsia="仿宋_GB2312" w:cs="Helvetica Neue"/>
          <w:color w:val="3E3E3E"/>
          <w:sz w:val="32"/>
          <w:szCs w:val="32"/>
        </w:rPr>
      </w:pPr>
    </w:p>
    <w:p>
      <w:pPr>
        <w:pStyle w:val="12"/>
        <w:ind w:left="0" w:leftChars="0" w:firstLine="0" w:firstLineChars="0"/>
        <w:jc w:val="left"/>
        <w:rPr>
          <w:rFonts w:hint="eastAsia" w:ascii="仿宋_GB2312" w:eastAsia="仿宋_GB2312"/>
          <w:b/>
          <w:bCs/>
          <w:sz w:val="32"/>
          <w:szCs w:val="32"/>
          <w:lang w:val="en-US" w:eastAsia="zh-CN"/>
        </w:rPr>
      </w:pPr>
      <w:r>
        <w:rPr>
          <w:rFonts w:hint="eastAsia" w:ascii="仿宋_GB2312" w:eastAsia="仿宋_GB2312"/>
          <w:b/>
          <w:bCs/>
          <w:sz w:val="32"/>
          <w:szCs w:val="32"/>
        </w:rPr>
        <w:t>附件</w:t>
      </w:r>
      <w:r>
        <w:rPr>
          <w:rFonts w:hint="eastAsia" w:ascii="仿宋_GB2312" w:eastAsia="仿宋_GB2312"/>
          <w:b/>
          <w:bCs/>
          <w:sz w:val="32"/>
          <w:szCs w:val="32"/>
          <w:lang w:val="en-US" w:eastAsia="zh-CN"/>
        </w:rPr>
        <w:t>3</w:t>
      </w:r>
    </w:p>
    <w:p>
      <w:pPr>
        <w:pStyle w:val="12"/>
        <w:ind w:left="0" w:lef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企业家系列培训活动报名回执</w:t>
      </w:r>
    </w:p>
    <w:tbl>
      <w:tblPr>
        <w:tblStyle w:val="9"/>
        <w:tblW w:w="8283" w:type="dxa"/>
        <w:jc w:val="center"/>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1445"/>
        <w:gridCol w:w="1343"/>
        <w:gridCol w:w="1006"/>
        <w:gridCol w:w="759"/>
        <w:gridCol w:w="870"/>
        <w:gridCol w:w="822"/>
        <w:gridCol w:w="985"/>
        <w:gridCol w:w="1053"/>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706"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单  位</w:t>
            </w:r>
          </w:p>
        </w:tc>
        <w:tc>
          <w:tcPr>
            <w:tcW w:w="683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 xml:space="preserve">                              （公章）</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259"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姓  名</w:t>
            </w:r>
          </w:p>
        </w:tc>
        <w:tc>
          <w:tcPr>
            <w:tcW w:w="1343" w:type="dxa"/>
            <w:tcBorders>
              <w:top w:val="single" w:color="auto" w:sz="4" w:space="0"/>
              <w:left w:val="single" w:color="auto" w:sz="4" w:space="0"/>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1006"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性别</w:t>
            </w:r>
          </w:p>
        </w:tc>
        <w:tc>
          <w:tcPr>
            <w:tcW w:w="759"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870"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年龄</w:t>
            </w:r>
          </w:p>
        </w:tc>
        <w:tc>
          <w:tcPr>
            <w:tcW w:w="822"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985"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职务</w:t>
            </w:r>
          </w:p>
        </w:tc>
        <w:tc>
          <w:tcPr>
            <w:tcW w:w="1053" w:type="dxa"/>
            <w:tcBorders>
              <w:top w:val="single" w:color="auto" w:sz="4" w:space="0"/>
              <w:left w:val="nil"/>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60"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姓  名</w:t>
            </w:r>
          </w:p>
        </w:tc>
        <w:tc>
          <w:tcPr>
            <w:tcW w:w="1343"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1006"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性别</w:t>
            </w:r>
          </w:p>
        </w:tc>
        <w:tc>
          <w:tcPr>
            <w:tcW w:w="759"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87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年龄</w:t>
            </w:r>
          </w:p>
        </w:tc>
        <w:tc>
          <w:tcPr>
            <w:tcW w:w="822"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985"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职务</w:t>
            </w:r>
          </w:p>
        </w:tc>
        <w:tc>
          <w:tcPr>
            <w:tcW w:w="105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60"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姓  名</w:t>
            </w:r>
          </w:p>
        </w:tc>
        <w:tc>
          <w:tcPr>
            <w:tcW w:w="1343"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1006"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性别</w:t>
            </w:r>
          </w:p>
        </w:tc>
        <w:tc>
          <w:tcPr>
            <w:tcW w:w="759"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87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年龄</w:t>
            </w:r>
          </w:p>
        </w:tc>
        <w:tc>
          <w:tcPr>
            <w:tcW w:w="822"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985"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职务</w:t>
            </w:r>
          </w:p>
        </w:tc>
        <w:tc>
          <w:tcPr>
            <w:tcW w:w="105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仿宋_GB2312" w:eastAsia="仿宋_GB2312"/>
                <w:kern w:val="0"/>
                <w:sz w:val="32"/>
                <w:szCs w:val="32"/>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cantSplit/>
          <w:trHeight w:val="491"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联系人</w:t>
            </w:r>
          </w:p>
        </w:tc>
        <w:tc>
          <w:tcPr>
            <w:tcW w:w="3108" w:type="dxa"/>
            <w:gridSpan w:val="3"/>
            <w:tcBorders>
              <w:top w:val="nil"/>
              <w:left w:val="single" w:color="auto" w:sz="4" w:space="0"/>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c>
          <w:tcPr>
            <w:tcW w:w="870" w:type="dxa"/>
            <w:tcBorders>
              <w:top w:val="nil"/>
              <w:left w:val="single" w:color="auto" w:sz="4" w:space="0"/>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手机</w:t>
            </w:r>
          </w:p>
        </w:tc>
        <w:tc>
          <w:tcPr>
            <w:tcW w:w="2860" w:type="dxa"/>
            <w:gridSpan w:val="3"/>
            <w:tcBorders>
              <w:top w:val="nil"/>
              <w:left w:val="single" w:color="auto" w:sz="4" w:space="0"/>
              <w:bottom w:val="single" w:color="auto" w:sz="4" w:space="0"/>
              <w:right w:val="single" w:color="000000" w:sz="4" w:space="0"/>
            </w:tcBorders>
            <w:vAlign w:val="center"/>
          </w:tcPr>
          <w:p>
            <w:pPr>
              <w:autoSpaceDE w:val="0"/>
              <w:autoSpaceDN w:val="0"/>
              <w:jc w:val="center"/>
              <w:rPr>
                <w:rFonts w:ascii="仿宋_GB2312" w:eastAsia="仿宋_GB2312"/>
                <w:kern w:val="0"/>
                <w:sz w:val="32"/>
                <w:szCs w:val="32"/>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Layout w:type="fixed"/>
        </w:tblPrEx>
        <w:trPr>
          <w:cantSplit/>
          <w:trHeight w:val="1585" w:hRule="atLeast"/>
          <w:jc w:val="center"/>
        </w:trPr>
        <w:tc>
          <w:tcPr>
            <w:tcW w:w="144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r>
              <w:rPr>
                <w:rFonts w:hint="eastAsia" w:ascii="仿宋_GB2312" w:eastAsia="仿宋_GB2312"/>
                <w:kern w:val="0"/>
                <w:sz w:val="32"/>
                <w:szCs w:val="32"/>
              </w:rPr>
              <w:t>备  注</w:t>
            </w:r>
          </w:p>
        </w:tc>
        <w:tc>
          <w:tcPr>
            <w:tcW w:w="6838"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eastAsia="仿宋_GB2312"/>
                <w:kern w:val="0"/>
                <w:sz w:val="32"/>
                <w:szCs w:val="32"/>
              </w:rPr>
            </w:pPr>
          </w:p>
        </w:tc>
      </w:tr>
    </w:tbl>
    <w:p>
      <w:pPr>
        <w:jc w:val="left"/>
        <w:rPr>
          <w:rFonts w:ascii="仿宋_GB2312" w:eastAsia="仿宋_GB2312"/>
          <w:sz w:val="32"/>
          <w:szCs w:val="32"/>
        </w:rPr>
      </w:pPr>
    </w:p>
    <w:sectPr>
      <w:footerReference r:id="rId3" w:type="default"/>
      <w:pgSz w:w="11906" w:h="16838"/>
      <w:pgMar w:top="1701" w:right="1247" w:bottom="1134" w:left="1247"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Helvetica Neue">
    <w:altName w:val="Times New Roman"/>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华文楷体">
    <w:altName w:val="楷体_GB2312"/>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大黑简体">
    <w:panose1 w:val="03000509000000000000"/>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3074" o:spid="_x0000_s3074"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Theme="minorEastAsia"/>
                    <w:b/>
                    <w:bCs/>
                    <w:sz w:val="18"/>
                    <w:lang w:eastAsia="zh-CN"/>
                  </w:rPr>
                </w:pPr>
                <w:r>
                  <w:rPr>
                    <w:rFonts w:hint="eastAsia" w:asciiTheme="minorEastAsia" w:hAnsiTheme="minorEastAsia" w:eastAsiaTheme="minorEastAsia" w:cstheme="minorEastAsia"/>
                    <w:b/>
                    <w:bCs/>
                    <w:sz w:val="21"/>
                    <w:szCs w:val="21"/>
                    <w:lang w:eastAsia="zh-CN"/>
                  </w:rPr>
                  <w:fldChar w:fldCharType="begin"/>
                </w:r>
                <w:r>
                  <w:rPr>
                    <w:rFonts w:hint="eastAsia" w:asciiTheme="minorEastAsia" w:hAnsiTheme="minorEastAsia" w:eastAsiaTheme="minorEastAsia" w:cstheme="minorEastAsia"/>
                    <w:b/>
                    <w:bCs/>
                    <w:sz w:val="21"/>
                    <w:szCs w:val="21"/>
                    <w:lang w:eastAsia="zh-CN"/>
                  </w:rPr>
                  <w:instrText xml:space="preserve"> PAGE  \* MERGEFORMAT </w:instrText>
                </w:r>
                <w:r>
                  <w:rPr>
                    <w:rFonts w:hint="eastAsia" w:asciiTheme="minorEastAsia" w:hAnsiTheme="minorEastAsia" w:eastAsiaTheme="minorEastAsia" w:cstheme="minorEastAsia"/>
                    <w:b/>
                    <w:bCs/>
                    <w:sz w:val="21"/>
                    <w:szCs w:val="21"/>
                    <w:lang w:eastAsia="zh-CN"/>
                  </w:rPr>
                  <w:fldChar w:fldCharType="separate"/>
                </w:r>
                <w:r>
                  <w:rPr>
                    <w:rFonts w:hint="eastAsia" w:asciiTheme="minorEastAsia" w:hAnsiTheme="minorEastAsia" w:eastAsiaTheme="minorEastAsia" w:cstheme="minorEastAsia"/>
                    <w:b/>
                    <w:bCs/>
                    <w:sz w:val="21"/>
                    <w:szCs w:val="21"/>
                  </w:rPr>
                  <w:t>1</w:t>
                </w:r>
                <w:r>
                  <w:rPr>
                    <w:rFonts w:hint="eastAsia" w:asciiTheme="minorEastAsia" w:hAnsiTheme="minorEastAsia" w:eastAsiaTheme="minorEastAsia" w:cstheme="minorEastAsia"/>
                    <w:b/>
                    <w:bCs/>
                    <w:sz w:val="21"/>
                    <w:szCs w:val="21"/>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A161C"/>
    <w:rsid w:val="00156422"/>
    <w:rsid w:val="00176190"/>
    <w:rsid w:val="0026714B"/>
    <w:rsid w:val="002A161C"/>
    <w:rsid w:val="002E544D"/>
    <w:rsid w:val="00432D52"/>
    <w:rsid w:val="0045362F"/>
    <w:rsid w:val="004935B9"/>
    <w:rsid w:val="00652049"/>
    <w:rsid w:val="007136DD"/>
    <w:rsid w:val="007440A1"/>
    <w:rsid w:val="00814893"/>
    <w:rsid w:val="008666AF"/>
    <w:rsid w:val="00893257"/>
    <w:rsid w:val="008F1363"/>
    <w:rsid w:val="008F3850"/>
    <w:rsid w:val="00912586"/>
    <w:rsid w:val="009417FB"/>
    <w:rsid w:val="009B5A18"/>
    <w:rsid w:val="009B79E7"/>
    <w:rsid w:val="00B357D6"/>
    <w:rsid w:val="00BE3D51"/>
    <w:rsid w:val="00BF1ECC"/>
    <w:rsid w:val="00C17B93"/>
    <w:rsid w:val="00CF1B11"/>
    <w:rsid w:val="00D40126"/>
    <w:rsid w:val="00D64E0D"/>
    <w:rsid w:val="00E20918"/>
    <w:rsid w:val="00E9112A"/>
    <w:rsid w:val="00EE3A89"/>
    <w:rsid w:val="00FB342D"/>
    <w:rsid w:val="00FD25C3"/>
    <w:rsid w:val="041A4074"/>
    <w:rsid w:val="2E9E26F9"/>
    <w:rsid w:val="30AF7911"/>
    <w:rsid w:val="331E58EB"/>
    <w:rsid w:val="417A28CE"/>
    <w:rsid w:val="46A372D1"/>
    <w:rsid w:val="49740C1B"/>
    <w:rsid w:val="4F491E1B"/>
    <w:rsid w:val="63C325E1"/>
    <w:rsid w:val="6F6652D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rFonts w:ascii="Times New Roman" w:hAnsi="Times New Roman"/>
      <w:b/>
      <w:bCs/>
      <w:kern w:val="44"/>
      <w:sz w:val="44"/>
      <w:szCs w:val="44"/>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link w:val="13"/>
    <w:qFormat/>
    <w:uiPriority w:val="0"/>
    <w:pPr>
      <w:spacing w:line="440" w:lineRule="exact"/>
      <w:ind w:firstLine="640" w:firstLineChars="200"/>
    </w:pPr>
    <w:rPr>
      <w:rFonts w:ascii="仿宋_GB2312" w:hAnsi="Times New Roman" w:eastAsia="仿宋_GB2312" w:cs="Times New Roman"/>
      <w:sz w:val="32"/>
      <w:szCs w:val="24"/>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Autospacing="1" w:afterAutospacing="1"/>
      <w:jc w:val="left"/>
    </w:pPr>
    <w:rPr>
      <w:rFonts w:cs="Times New Roman"/>
      <w:kern w:val="0"/>
      <w:sz w:val="24"/>
      <w:szCs w:val="24"/>
    </w:rPr>
  </w:style>
  <w:style w:type="character" w:styleId="8">
    <w:name w:val="Strong"/>
    <w:basedOn w:val="7"/>
    <w:qFormat/>
    <w:uiPriority w:val="0"/>
    <w:rPr>
      <w:b/>
    </w:rPr>
  </w:style>
  <w:style w:type="character" w:customStyle="1" w:styleId="10">
    <w:name w:val="页眉 Char"/>
    <w:basedOn w:val="7"/>
    <w:link w:val="5"/>
    <w:semiHidden/>
    <w:uiPriority w:val="99"/>
    <w:rPr>
      <w:sz w:val="18"/>
      <w:szCs w:val="18"/>
    </w:rPr>
  </w:style>
  <w:style w:type="character" w:customStyle="1" w:styleId="11">
    <w:name w:val="页脚 Char"/>
    <w:basedOn w:val="7"/>
    <w:link w:val="4"/>
    <w:semiHidden/>
    <w:qFormat/>
    <w:uiPriority w:val="99"/>
    <w:rPr>
      <w:sz w:val="18"/>
      <w:szCs w:val="18"/>
    </w:rPr>
  </w:style>
  <w:style w:type="paragraph" w:customStyle="1" w:styleId="12">
    <w:name w:val="List Paragraph"/>
    <w:basedOn w:val="1"/>
    <w:qFormat/>
    <w:uiPriority w:val="34"/>
    <w:pPr>
      <w:ind w:firstLine="420" w:firstLineChars="200"/>
    </w:pPr>
  </w:style>
  <w:style w:type="character" w:customStyle="1" w:styleId="13">
    <w:name w:val="正文文本缩进 Char"/>
    <w:basedOn w:val="7"/>
    <w:link w:val="3"/>
    <w:uiPriority w:val="0"/>
    <w:rPr>
      <w:rFonts w:ascii="仿宋_GB2312" w:hAnsi="Times New Roman" w:eastAsia="仿宋_GB2312"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4" textRotate="1"/>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E0094-B74D-457C-93DD-3996FE27092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395</Words>
  <Characters>2256</Characters>
  <Lines>18</Lines>
  <Paragraphs>5</Paragraphs>
  <ScaleCrop>false</ScaleCrop>
  <LinksUpToDate>false</LinksUpToDate>
  <CharactersWithSpaces>2646</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2017-01-10T01:36:00Z</dcterms:created>
  <dc:creator>User</dc:creator>
  <cp:lastModifiedBy>Administrator</cp:lastModifiedBy>
  <dcterms:modified xsi:type="dcterms:W3CDTF">2017-01-12T05:54:21Z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